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color w:val="0b00e2"/>
          <w:sz w:val="40"/>
          <w:szCs w:val="4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2644140</wp:posOffset>
            </wp:positionH>
            <wp:positionV relativeFrom="paragraph">
              <wp:posOffset>-238757</wp:posOffset>
            </wp:positionV>
            <wp:extent cx="431800" cy="57404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5740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color w:val="0b00e2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 МІСЬКА  </w:t>
      </w:r>
    </w:p>
    <w:p w:rsidR="00000000" w:rsidDel="00000000" w:rsidP="00000000" w:rsidRDefault="00000000" w:rsidRPr="00000000" w14:paraId="00000005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 РІШЕННЯ</w:t>
      </w:r>
    </w:p>
    <w:p w:rsidR="00000000" w:rsidDel="00000000" w:rsidP="00000000" w:rsidRDefault="00000000" w:rsidRPr="00000000" w14:paraId="00000006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12 грудня 2023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року </w:t>
        <w:tab/>
        <w:tab/>
        <w:t xml:space="preserve">м. Сквира </w:t>
        <w:tab/>
        <w:tab/>
        <w:tab/>
        <w:tab/>
        <w:t xml:space="preserve">№09-42-VIII</w:t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 погодження до штатного розпису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«Сквир-водоканал» на 2024 рік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п.5 ч.1 ст.26 Закону України «Про місцеве самоврядування в Україні», керуючись нормами Бюджетного та Господарського кодексів України, розглянувши лист комунального підприємства «Сквир-водоканал», враховуючи висновки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штатний розпис комунального підприємства «Сквир-водоканал», який вводиться в дію з 01 січня 2024 року (Додаток).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 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                                                                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1"/>
        <w:shd w:fill="ffffff" w:val="clear"/>
        <w:spacing w:after="0" w:line="240" w:lineRule="auto"/>
        <w:jc w:val="left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709" w:left="1418" w:right="84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1j3xBb91hb6nvxAOOXgCzocVtA==">CgMxLjA4AHIhMWJELXJrMjNmY1J3a1FuWjJrUkcxTDJ3dy1qLW9iNjBa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